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36"/>
          <w:szCs w:val="44"/>
          <w:lang w:eastAsia="zh-CN"/>
        </w:rPr>
      </w:pPr>
      <w:bookmarkStart w:id="0" w:name="OLE_LINK1"/>
      <w:r>
        <w:rPr>
          <w:rFonts w:hint="eastAsia" w:ascii="方正小标宋_GBK" w:hAnsi="方正小标宋_GBK" w:eastAsia="方正小标宋_GBK" w:cs="方正小标宋_GBK"/>
          <w:sz w:val="36"/>
          <w:szCs w:val="44"/>
          <w:lang w:eastAsia="zh-CN"/>
        </w:rPr>
        <w:t>德阳市中心血站</w:t>
      </w:r>
    </w:p>
    <w:p>
      <w:pPr>
        <w:jc w:val="center"/>
        <w:rPr>
          <w:rFonts w:hint="eastAsia"/>
          <w:lang w:val="en-US" w:eastAsia="zh-CN"/>
        </w:rPr>
      </w:pPr>
      <w:r>
        <w:rPr>
          <w:rFonts w:hint="eastAsia" w:ascii="方正小标宋_GBK" w:hAnsi="方正小标宋_GBK" w:eastAsia="方正小标宋_GBK" w:cs="方正小标宋_GBK"/>
          <w:sz w:val="36"/>
          <w:szCs w:val="44"/>
          <w:lang w:val="en-US" w:eastAsia="zh-CN"/>
        </w:rPr>
        <w:t>2027年无偿献血活动策划执行服务采购需求</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一、项目概况</w:t>
      </w:r>
    </w:p>
    <w:p>
      <w:pPr>
        <w:keepNext w:val="0"/>
        <w:keepLines w:val="0"/>
        <w:pageBreakBefore w:val="0"/>
        <w:widowControl w:val="0"/>
        <w:numPr>
          <w:ilvl w:val="0"/>
          <w:numId w:val="1"/>
        </w:numPr>
        <w:kinsoku/>
        <w:wordWrap/>
        <w:overflowPunct/>
        <w:topLinePunct w:val="0"/>
        <w:autoSpaceDE/>
        <w:autoSpaceDN/>
        <w:bidi w:val="0"/>
        <w:adjustRightInd/>
        <w:snapToGrid/>
        <w:ind w:leftChars="0" w:firstLine="640" w:firstLineChars="200"/>
        <w:jc w:val="left"/>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全年活动体系</w:t>
      </w:r>
    </w:p>
    <w:tbl>
      <w:tblPr>
        <w:tblStyle w:val="4"/>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190"/>
        <w:gridCol w:w="4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5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280" w:firstLineChars="1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序号</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活动类别</w:t>
            </w:r>
          </w:p>
        </w:tc>
        <w:tc>
          <w:tcPr>
            <w:tcW w:w="49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5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六大主题活动</w:t>
            </w:r>
          </w:p>
        </w:tc>
        <w:tc>
          <w:tcPr>
            <w:tcW w:w="49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1.白衣天使献血月活动（1-2月，7-8月）；</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2.市直机关共产党员献血月（7-8月）；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left"/>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3.公务人员献血月（12月）；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left"/>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4.四川省无偿献血者服务日（3月）；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left"/>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5.614世界献血者日；</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left"/>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6.传统节日活动（元旦、春节、端午、中秋等）。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5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高校系列活动</w:t>
            </w:r>
          </w:p>
        </w:tc>
        <w:tc>
          <w:tcPr>
            <w:tcW w:w="49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14所驻德高校，每年上、下半年各进校1次，全年共28场次。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5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线上活动</w:t>
            </w:r>
          </w:p>
        </w:tc>
        <w:tc>
          <w:tcPr>
            <w:tcW w:w="49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科普答题、抽奖等互动类活动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5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献血者关爱活动</w:t>
            </w:r>
          </w:p>
        </w:tc>
        <w:tc>
          <w:tcPr>
            <w:tcW w:w="49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户外拓展等形式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0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5</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志愿者活动</w:t>
            </w:r>
          </w:p>
        </w:tc>
        <w:tc>
          <w:tcPr>
            <w:tcW w:w="49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志愿培训、服务、座谈等</w:t>
            </w:r>
          </w:p>
        </w:tc>
      </w:tr>
    </w:tbl>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楷体_GB2312" w:hAnsi="楷体_GB2312" w:eastAsia="楷体_GB2312" w:cs="楷体_GB2312"/>
          <w:sz w:val="32"/>
          <w:szCs w:val="32"/>
          <w:lang w:val="en-US" w:eastAsia="zh-CN"/>
        </w:rPr>
      </w:pPr>
      <w:r>
        <w:rPr>
          <w:rFonts w:hint="eastAsia" w:ascii="仿宋" w:hAnsi="仿宋" w:eastAsia="仿宋" w:cs="仿宋"/>
          <w:sz w:val="32"/>
          <w:szCs w:val="32"/>
          <w:lang w:val="en-US" w:eastAsia="zh-CN"/>
        </w:rPr>
        <w:t>以上为我站基于现有工作规划梳理的活动类型，供应商应在确保上述活动完整执行的基础上，结合对无偿献血宣传工作的理解和自身经验，在活动形式、执行方式、创意呈现等方面提出优化建议和创新思路，不局限于传统执行模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（二）614世界献血者日大型活动（2027年重点）</w:t>
      </w:r>
    </w:p>
    <w:p>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活动规模：预计参与人数约300人</w:t>
      </w:r>
    </w:p>
    <w:p>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活动内容：主会场搭建（舞台、音响、LED屏、灯光、背景板、签到墙等）、颁奖典礼（金奖、终身荣誉奖等）、领导及嘉宾邀请与接待。</w:t>
      </w:r>
    </w:p>
    <w:p>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视频制作：预热视频（30-60秒）、活动当日快剪视频（30-60秒）、宣传片（3-5分钟）、灯光秀视频（1-2分钟）</w:t>
      </w:r>
    </w:p>
    <w:p>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定制礼品：颁奖礼盒（约210套）、现场伴手礼（约300份）。注：颁奖礼盒及伴手礼需使用血站现有IP形象设计元素，由活动服务商统筹设计及制作。</w:t>
      </w:r>
    </w:p>
    <w:p>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宣传配合：活动全程媒体宣发配合</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（三）活动分级标准与预算参考</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为便于供应商理解活动规格、精准匹配方案深度，现将2027年活动按以下标准分级：</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425"/>
        <w:gridCol w:w="3120"/>
        <w:gridCol w:w="1591"/>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级别</w:t>
            </w:r>
          </w:p>
        </w:tc>
        <w:tc>
          <w:tcPr>
            <w:tcW w:w="14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活动类型</w:t>
            </w: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组织形式与规模特征</w:t>
            </w:r>
          </w:p>
        </w:tc>
        <w:tc>
          <w:tcPr>
            <w:tcW w:w="159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建议预算区间（参考）</w:t>
            </w:r>
          </w:p>
        </w:tc>
        <w:tc>
          <w:tcPr>
            <w:tcW w:w="1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结算方式（拟采用）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大型活动</w:t>
            </w:r>
          </w:p>
        </w:tc>
        <w:tc>
          <w:tcPr>
            <w:tcW w:w="14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614世界献血者日、其他需舞美搭建的重大活动</w:t>
            </w:r>
          </w:p>
        </w:tc>
        <w:tc>
          <w:tcPr>
            <w:tcW w:w="3120" w:type="dxa"/>
            <w:vAlign w:val="center"/>
          </w:tcPr>
          <w:p>
            <w:pPr>
              <w:keepNext w:val="0"/>
              <w:keepLines w:val="0"/>
              <w:pageBreakBefore w:val="0"/>
              <w:widowControl w:val="0"/>
              <w:numPr>
                <w:ilvl w:val="0"/>
                <w:numId w:val="3"/>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需搭建主会场（舞台/LED/灯光/音响等）；</w:t>
            </w:r>
          </w:p>
          <w:p>
            <w:pPr>
              <w:keepNext w:val="0"/>
              <w:keepLines w:val="0"/>
              <w:pageBreakBefore w:val="0"/>
              <w:widowControl w:val="0"/>
              <w:numPr>
                <w:ilvl w:val="0"/>
                <w:numId w:val="3"/>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涉及领导出席；</w:t>
            </w:r>
          </w:p>
          <w:p>
            <w:pPr>
              <w:keepNext w:val="0"/>
              <w:keepLines w:val="0"/>
              <w:pageBreakBefore w:val="0"/>
              <w:widowControl w:val="0"/>
              <w:numPr>
                <w:ilvl w:val="0"/>
                <w:numId w:val="3"/>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需全程视频制作和集中媒体宣发。参与人数不限，以是否需要舞美搭建为主要判定依据。</w:t>
            </w:r>
          </w:p>
        </w:tc>
        <w:tc>
          <w:tcPr>
            <w:tcW w:w="159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614活动：50-70万/场；</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其他需舞美搭建活动：10-30万/场</w:t>
            </w:r>
          </w:p>
        </w:tc>
        <w:tc>
          <w:tcPr>
            <w:tcW w:w="1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按场次包干，分项报价（含视频制作、礼品、场地搭建及全部执行费用）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中型活动</w:t>
            </w:r>
          </w:p>
        </w:tc>
        <w:tc>
          <w:tcPr>
            <w:tcW w:w="14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四川省无偿献血者服务日</w:t>
            </w: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预计参与人数100-300人（实际人数可能有所浮动），需场地布置（如展板桁架等户外宣传布置），无需大型舞美搭建，活动周期半天至1天。</w:t>
            </w:r>
          </w:p>
        </w:tc>
        <w:tc>
          <w:tcPr>
            <w:tcW w:w="159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1-3万元/场</w:t>
            </w:r>
          </w:p>
        </w:tc>
        <w:tc>
          <w:tcPr>
            <w:tcW w:w="1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按场次包干，分项报价（含视频制作、礼品、场地搭建及全部执行费用）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小型活动（场景一）</w:t>
            </w:r>
          </w:p>
        </w:tc>
        <w:tc>
          <w:tcPr>
            <w:tcW w:w="14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献血月系列活动、传统节日活动</w:t>
            </w:r>
          </w:p>
        </w:tc>
        <w:tc>
          <w:tcPr>
            <w:tcW w:w="3120" w:type="dxa"/>
            <w:vAlign w:val="center"/>
          </w:tcPr>
          <w:p>
            <w:pPr>
              <w:keepNext w:val="0"/>
              <w:keepLines w:val="0"/>
              <w:pageBreakBefore w:val="0"/>
              <w:widowControl w:val="0"/>
              <w:numPr>
                <w:ilvl w:val="0"/>
                <w:numId w:val="4"/>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一般无统一启动仪式，以献血点为主要阵地，多场次、多点位分散开展。部分涉及现场布置、物料制作。</w:t>
            </w:r>
          </w:p>
          <w:p>
            <w:pPr>
              <w:keepNext w:val="0"/>
              <w:keepLines w:val="0"/>
              <w:pageBreakBefore w:val="0"/>
              <w:widowControl w:val="0"/>
              <w:numPr>
                <w:ilvl w:val="0"/>
                <w:numId w:val="4"/>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预计单场次人数20-100人（实际人数可能有所浮动），统一活动周期内需协调对接多个献血点，执行跨度较长（献血月持续1-2个月）。需要适配的纪念品。</w:t>
            </w:r>
          </w:p>
          <w:p>
            <w:pPr>
              <w:keepNext w:val="0"/>
              <w:keepLines w:val="0"/>
              <w:pageBreakBefore w:val="0"/>
              <w:widowControl w:val="0"/>
              <w:numPr>
                <w:ilvl w:val="0"/>
                <w:numId w:val="4"/>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传统节日多以法定节日期间为主。</w:t>
            </w:r>
          </w:p>
        </w:tc>
        <w:tc>
          <w:tcPr>
            <w:tcW w:w="159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单场次0.3-1万元</w:t>
            </w:r>
          </w:p>
        </w:tc>
        <w:tc>
          <w:tcPr>
            <w:tcW w:w="1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按场次结算（固定费用+变动费用）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小型活动（场景二）</w:t>
            </w:r>
          </w:p>
        </w:tc>
        <w:tc>
          <w:tcPr>
            <w:tcW w:w="14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春节主题活动</w:t>
            </w: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春节的献血宣传需覆盖春节前半个月至1个月，在多个献血点同步营造节日氛围（包括现场氛围布置、赠春联、送福字、新春礼包等），为节前用血保障和节日期间献血招募营造社会氛围，执行跨度长，需提前策划和物料准备。</w:t>
            </w:r>
          </w:p>
        </w:tc>
        <w:tc>
          <w:tcPr>
            <w:tcW w:w="159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4-6万/年节</w:t>
            </w:r>
          </w:p>
        </w:tc>
        <w:tc>
          <w:tcPr>
            <w:tcW w:w="1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按实际发生费用结算（固定费用+变动费用）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小型活动（场景三）</w:t>
            </w:r>
          </w:p>
        </w:tc>
        <w:tc>
          <w:tcPr>
            <w:tcW w:w="14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高校系列活动（全年28场）</w:t>
            </w: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预计单场次参与人数100-600人（校内献血活动，实际人数可能有所浮动），利用高校现有场地，无需额外舞美搭建，但需进行现场氛围布置（主题背景、引导标识、互动打卡区等），营造适合校园场景的无偿献血宣传氛围。</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2.每场活动需配套：前期预热宣传物料、现场互动活动策划及礼品、活动短视频拍摄。</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3.成功献血同学额外获得具有纪念意义且符合当下年轻人审美的专属纪念品。</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4.需配合校方时间安排，单场活动周期1天-3天。</w:t>
            </w:r>
          </w:p>
        </w:tc>
        <w:tc>
          <w:tcPr>
            <w:tcW w:w="159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1-5万/校次</w:t>
            </w:r>
          </w:p>
        </w:tc>
        <w:tc>
          <w:tcPr>
            <w:tcW w:w="1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按校次结算。（固定费用+变动费用）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小型活动（场景四）</w:t>
            </w:r>
          </w:p>
        </w:tc>
        <w:tc>
          <w:tcPr>
            <w:tcW w:w="14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献血者关爱活动（户外拓展）</w:t>
            </w: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1.参与对象为德阳市获得全国无偿献血奉献奖代表、稀有血型代表、志愿者代表等，往年合并开展（约200人以内），以户外拓展形式为主。如涉及分组单独开展，按实际分组的场次和人数分别结算。</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执行模式分为两种：（1）一日活动：含交通、餐饮（1正）、场地拓展、保险、物料及氛围、策划执行服务费等；（2）两天一夜活动：含交通、住宿、餐饮、场地拓展、保险、物料及氛围、执行服务费等，其中住宿标准为携程四钻或以上，正餐餐标不低于70元/人/餐。</w:t>
            </w:r>
          </w:p>
        </w:tc>
        <w:tc>
          <w:tcPr>
            <w:tcW w:w="159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一日活动：人均（200-400元）+固定费用（约0.5-1.5万/场）；两天一夜：人均（500-800元）+固定费用（约1-2万/场）</w:t>
            </w:r>
          </w:p>
        </w:tc>
        <w:tc>
          <w:tcPr>
            <w:tcW w:w="1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按“固定费用+变动费用”结算。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小型活动（场景五）</w:t>
            </w:r>
          </w:p>
        </w:tc>
        <w:tc>
          <w:tcPr>
            <w:tcW w:w="14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线上活动、志愿者培训、服务、座谈等</w:t>
            </w: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1.线上活动：通过微信公众号等平台开展科普答题、抽奖、留言互动等，无实体场地限制，参与人数根据活动设计预期，预算经费侧重奖品设置和活动推广；</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2.志愿者座谈等：预计单场参与人数100人以下，利用自有场地或合作方现成场地，无特殊接待需求，活动组织相对简单。</w:t>
            </w:r>
          </w:p>
        </w:tc>
        <w:tc>
          <w:tcPr>
            <w:tcW w:w="159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线上活动：0.5-3万/场；</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志愿者活动：0.3-1万/场</w:t>
            </w:r>
          </w:p>
        </w:tc>
        <w:tc>
          <w:tcPr>
            <w:tcW w:w="158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线上活动按“固定费用+奖品消耗”据实结算；</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志愿者活动按场次包干。</w:t>
            </w:r>
          </w:p>
        </w:tc>
      </w:tr>
    </w:tbl>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预算区间仅供参考：以上区间为我站基于市场行情预判，供应商应根据自身成本结构提供具有市场竞争力的报价。</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二、产品介绍会内容要求</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参会供应商需准备PPT，围绕以下内容进行介绍：</w:t>
      </w:r>
    </w:p>
    <w:p>
      <w:pPr>
        <w:keepNext w:val="0"/>
        <w:keepLines w:val="0"/>
        <w:pageBreakBefore w:val="0"/>
        <w:widowControl w:val="0"/>
        <w:numPr>
          <w:ilvl w:val="0"/>
          <w:numId w:val="5"/>
        </w:numPr>
        <w:kinsoku/>
        <w:wordWrap/>
        <w:overflowPunct/>
        <w:topLinePunct w:val="0"/>
        <w:autoSpaceDE/>
        <w:autoSpaceDN/>
        <w:bidi w:val="0"/>
        <w:adjustRightInd/>
        <w:snapToGrid/>
        <w:ind w:leftChars="0" w:firstLine="640" w:firstLineChars="200"/>
        <w:jc w:val="left"/>
        <w:textAlignment w:val="auto"/>
        <w:outlineLvl w:val="9"/>
        <w:rPr>
          <w:rFonts w:hint="eastAsia" w:ascii="仿宋" w:hAnsi="仿宋" w:eastAsia="仿宋" w:cs="仿宋"/>
          <w:sz w:val="32"/>
          <w:szCs w:val="32"/>
          <w:lang w:val="en-US" w:eastAsia="zh-CN"/>
        </w:rPr>
      </w:pPr>
      <w:r>
        <w:rPr>
          <w:rFonts w:hint="eastAsia" w:ascii="楷体_GB2312" w:hAnsi="楷体_GB2312" w:eastAsia="楷体_GB2312" w:cs="楷体_GB2312"/>
          <w:sz w:val="32"/>
          <w:szCs w:val="32"/>
          <w:lang w:val="en-US" w:eastAsia="zh-CN"/>
        </w:rPr>
        <w:t>对无偿献血宣传工作及项目的理解：</w:t>
      </w:r>
      <w:r>
        <w:rPr>
          <w:rFonts w:hint="eastAsia" w:ascii="仿宋" w:hAnsi="仿宋" w:eastAsia="仿宋" w:cs="仿宋"/>
          <w:sz w:val="32"/>
          <w:szCs w:val="32"/>
          <w:lang w:val="en-US" w:eastAsia="zh-CN"/>
        </w:rPr>
        <w:t>结合当前无偿献血面临的社会环境和招募难点，阐述对本项目社会意义的认知；对德阳市中心血站2027年活动思路的理解；</w:t>
      </w:r>
    </w:p>
    <w:p>
      <w:pPr>
        <w:keepNext w:val="0"/>
        <w:keepLines w:val="0"/>
        <w:pageBreakBefore w:val="0"/>
        <w:widowControl w:val="0"/>
        <w:numPr>
          <w:ilvl w:val="0"/>
          <w:numId w:val="5"/>
        </w:numPr>
        <w:kinsoku/>
        <w:wordWrap/>
        <w:overflowPunct/>
        <w:topLinePunct w:val="0"/>
        <w:autoSpaceDE/>
        <w:autoSpaceDN/>
        <w:bidi w:val="0"/>
        <w:adjustRightInd/>
        <w:snapToGrid/>
        <w:ind w:leftChars="0" w:firstLine="640" w:firstLineChars="200"/>
        <w:jc w:val="left"/>
        <w:textAlignment w:val="auto"/>
        <w:outlineLvl w:val="9"/>
        <w:rPr>
          <w:rFonts w:hint="eastAsia" w:ascii="仿宋" w:hAnsi="仿宋" w:eastAsia="仿宋" w:cs="仿宋"/>
          <w:sz w:val="32"/>
          <w:szCs w:val="32"/>
          <w:lang w:val="en-US" w:eastAsia="zh-CN"/>
        </w:rPr>
      </w:pPr>
      <w:r>
        <w:rPr>
          <w:rFonts w:hint="eastAsia" w:ascii="楷体_GB2312" w:hAnsi="楷体_GB2312" w:eastAsia="楷体_GB2312" w:cs="楷体_GB2312"/>
          <w:sz w:val="32"/>
          <w:szCs w:val="32"/>
          <w:lang w:val="en-US" w:eastAsia="zh-CN"/>
        </w:rPr>
        <w:t>全年活动运行思路：</w:t>
      </w:r>
      <w:r>
        <w:rPr>
          <w:rFonts w:hint="eastAsia" w:ascii="仿宋" w:hAnsi="仿宋" w:eastAsia="仿宋" w:cs="仿宋"/>
          <w:sz w:val="32"/>
          <w:szCs w:val="32"/>
          <w:lang w:val="en-US" w:eastAsia="zh-CN"/>
        </w:rPr>
        <w:t>全年活动的整体规划，如何确保活动调性统一、执行高效；</w:t>
      </w:r>
    </w:p>
    <w:p>
      <w:pPr>
        <w:keepNext w:val="0"/>
        <w:keepLines w:val="0"/>
        <w:pageBreakBefore w:val="0"/>
        <w:widowControl w:val="0"/>
        <w:numPr>
          <w:ilvl w:val="0"/>
          <w:numId w:val="5"/>
        </w:numPr>
        <w:kinsoku/>
        <w:wordWrap/>
        <w:overflowPunct/>
        <w:topLinePunct w:val="0"/>
        <w:autoSpaceDE/>
        <w:autoSpaceDN/>
        <w:bidi w:val="0"/>
        <w:adjustRightInd/>
        <w:snapToGrid/>
        <w:ind w:leftChars="0" w:firstLine="640" w:firstLineChars="200"/>
        <w:jc w:val="left"/>
        <w:textAlignment w:val="auto"/>
        <w:outlineLvl w:val="9"/>
        <w:rPr>
          <w:rFonts w:hint="eastAsia" w:ascii="仿宋" w:hAnsi="仿宋" w:eastAsia="仿宋" w:cs="仿宋"/>
          <w:sz w:val="32"/>
          <w:szCs w:val="32"/>
          <w:lang w:val="en-US" w:eastAsia="zh-CN"/>
        </w:rPr>
      </w:pPr>
      <w:r>
        <w:rPr>
          <w:rFonts w:hint="eastAsia" w:ascii="楷体_GB2312" w:hAnsi="楷体_GB2312" w:eastAsia="楷体_GB2312" w:cs="楷体_GB2312"/>
          <w:sz w:val="32"/>
          <w:szCs w:val="32"/>
          <w:lang w:val="en-US" w:eastAsia="zh-CN"/>
        </w:rPr>
        <w:t>614活动专项策划：</w:t>
      </w:r>
      <w:r>
        <w:rPr>
          <w:rFonts w:hint="eastAsia" w:ascii="仿宋" w:hAnsi="仿宋" w:eastAsia="仿宋" w:cs="仿宋"/>
          <w:sz w:val="32"/>
          <w:szCs w:val="32"/>
          <w:lang w:val="en-US" w:eastAsia="zh-CN"/>
        </w:rPr>
        <w:t>核心主题与创意概念、主会场搭建方案（300人规模，含舞台、音响、LED屏、签到墙、氛围布置等，需提供效果示意图或参考图）、视频创意框架、定制礼品方案思路</w:t>
      </w:r>
    </w:p>
    <w:p>
      <w:pPr>
        <w:keepNext w:val="0"/>
        <w:keepLines w:val="0"/>
        <w:pageBreakBefore w:val="0"/>
        <w:widowControl w:val="0"/>
        <w:numPr>
          <w:ilvl w:val="0"/>
          <w:numId w:val="5"/>
        </w:numPr>
        <w:kinsoku/>
        <w:wordWrap/>
        <w:overflowPunct/>
        <w:topLinePunct w:val="0"/>
        <w:autoSpaceDE/>
        <w:autoSpaceDN/>
        <w:bidi w:val="0"/>
        <w:adjustRightInd/>
        <w:snapToGrid/>
        <w:ind w:leftChars="0" w:firstLine="640" w:firstLineChars="200"/>
        <w:jc w:val="left"/>
        <w:textAlignment w:val="auto"/>
        <w:outlineLvl w:val="9"/>
        <w:rPr>
          <w:rFonts w:hint="eastAsia" w:ascii="仿宋" w:hAnsi="仿宋" w:eastAsia="仿宋" w:cs="仿宋"/>
          <w:sz w:val="32"/>
          <w:szCs w:val="32"/>
          <w:lang w:val="en-US" w:eastAsia="zh-CN"/>
        </w:rPr>
      </w:pPr>
      <w:r>
        <w:rPr>
          <w:rFonts w:hint="eastAsia" w:ascii="楷体_GB2312" w:hAnsi="楷体_GB2312" w:eastAsia="楷体_GB2312" w:cs="楷体_GB2312"/>
          <w:sz w:val="32"/>
          <w:szCs w:val="32"/>
          <w:lang w:val="en-US" w:eastAsia="zh-CN"/>
        </w:rPr>
        <w:t>团队配置：</w:t>
      </w:r>
      <w:r>
        <w:rPr>
          <w:rFonts w:hint="eastAsia" w:ascii="仿宋" w:hAnsi="仿宋" w:eastAsia="仿宋" w:cs="仿宋"/>
          <w:sz w:val="32"/>
          <w:szCs w:val="32"/>
          <w:lang w:val="en-US" w:eastAsia="zh-CN"/>
        </w:rPr>
        <w:t>项目经理、策划、设计等各板块人员架构，核心成员同类项目经验。</w:t>
      </w:r>
    </w:p>
    <w:p>
      <w:pPr>
        <w:keepNext w:val="0"/>
        <w:keepLines w:val="0"/>
        <w:pageBreakBefore w:val="0"/>
        <w:widowControl w:val="0"/>
        <w:numPr>
          <w:ilvl w:val="0"/>
          <w:numId w:val="5"/>
        </w:numPr>
        <w:kinsoku/>
        <w:wordWrap/>
        <w:overflowPunct/>
        <w:topLinePunct w:val="0"/>
        <w:autoSpaceDE/>
        <w:autoSpaceDN/>
        <w:bidi w:val="0"/>
        <w:adjustRightInd/>
        <w:snapToGrid/>
        <w:ind w:leftChars="0" w:firstLine="640" w:firstLineChars="200"/>
        <w:jc w:val="left"/>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报价框架：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供应商根据各活动类型及对应的结算方式，分别报价并列出分项明细：</w:t>
      </w:r>
    </w:p>
    <w:p>
      <w:pPr>
        <w:keepNext w:val="0"/>
        <w:keepLines w:val="0"/>
        <w:pageBreakBefore w:val="0"/>
        <w:widowControl w:val="0"/>
        <w:numPr>
          <w:ilvl w:val="0"/>
          <w:numId w:val="6"/>
        </w:numPr>
        <w:kinsoku/>
        <w:wordWrap/>
        <w:overflowPunct/>
        <w:topLinePunct w:val="0"/>
        <w:autoSpaceDE/>
        <w:autoSpaceDN/>
        <w:bidi w:val="0"/>
        <w:adjustRightInd/>
        <w:snapToGrid/>
        <w:ind w:firstLine="642" w:firstLineChars="200"/>
        <w:jc w:val="left"/>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按场次包干类（大型活动、中型活动）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提供分项报价明细（如场地搭建、摄影摄像、礼品等），并分别提供理想版与精简版两档方案的总价及费用构成。</w:t>
      </w:r>
    </w:p>
    <w:p>
      <w:pPr>
        <w:keepNext w:val="0"/>
        <w:keepLines w:val="0"/>
        <w:pageBreakBefore w:val="0"/>
        <w:widowControl w:val="0"/>
        <w:numPr>
          <w:ilvl w:val="0"/>
          <w:numId w:val="6"/>
        </w:numPr>
        <w:kinsoku/>
        <w:wordWrap/>
        <w:overflowPunct/>
        <w:topLinePunct w:val="0"/>
        <w:autoSpaceDE/>
        <w:autoSpaceDN/>
        <w:bidi w:val="0"/>
        <w:adjustRightInd/>
        <w:snapToGrid/>
        <w:ind w:firstLine="642" w:firstLineChars="200"/>
        <w:jc w:val="left"/>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按结算（固定费用+变动费用）类（场景一、二、三、四、五）</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1）固定费用：指策划执行、摄影摄像、物料制作、现场布置、场地费、教练费等不因人数变化的固定成本部分；按单场/校次分别列明可产生的固定成本费用。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2）变动费用：指因实际参与人数而上下浮动的部分。如人均纪念品费、互动礼品费等。按单场/校次的人均单价列明。</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3）场景四提供两种执行模式的分别报价明细。</w:t>
      </w:r>
    </w:p>
    <w:p>
      <w:pPr>
        <w:keepNext w:val="0"/>
        <w:keepLines w:val="0"/>
        <w:pageBreakBefore w:val="0"/>
        <w:widowControl w:val="0"/>
        <w:numPr>
          <w:ilvl w:val="0"/>
          <w:numId w:val="6"/>
        </w:numPr>
        <w:kinsoku/>
        <w:wordWrap/>
        <w:overflowPunct/>
        <w:topLinePunct w:val="0"/>
        <w:autoSpaceDE/>
        <w:autoSpaceDN/>
        <w:bidi w:val="0"/>
        <w:adjustRightInd/>
        <w:snapToGrid/>
        <w:ind w:left="0" w:leftChars="0" w:firstLine="642" w:firstLineChars="200"/>
        <w:jc w:val="left"/>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创新建议报价</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提出创新思路的，需单独列明建议方案的成本构成及费用明细。</w:t>
      </w:r>
    </w:p>
    <w:p>
      <w:pPr>
        <w:keepNext w:val="0"/>
        <w:keepLines w:val="0"/>
        <w:pageBreakBefore w:val="0"/>
        <w:widowControl w:val="0"/>
        <w:numPr>
          <w:ilvl w:val="0"/>
          <w:numId w:val="6"/>
        </w:numPr>
        <w:kinsoku/>
        <w:wordWrap/>
        <w:overflowPunct/>
        <w:topLinePunct w:val="0"/>
        <w:autoSpaceDE/>
        <w:autoSpaceDN/>
        <w:bidi w:val="0"/>
        <w:adjustRightInd/>
        <w:snapToGrid/>
        <w:ind w:left="0" w:leftChars="0" w:firstLine="642"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总价汇总：</w:t>
      </w:r>
      <w:r>
        <w:rPr>
          <w:rFonts w:hint="eastAsia" w:ascii="仿宋" w:hAnsi="仿宋" w:eastAsia="仿宋" w:cs="仿宋"/>
          <w:sz w:val="32"/>
          <w:szCs w:val="32"/>
          <w:lang w:val="en-US" w:eastAsia="zh-CN"/>
        </w:rPr>
        <w:t>各分项汇总即为活动总报价。</w:t>
      </w:r>
    </w:p>
    <w:p>
      <w:pPr>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jc w:val="left"/>
        <w:textAlignment w:val="auto"/>
        <w:outlineLvl w:val="9"/>
        <w:rPr>
          <w:rFonts w:hint="eastAsia" w:ascii="仿宋" w:hAnsi="仿宋" w:eastAsia="仿宋" w:cs="仿宋"/>
          <w:sz w:val="32"/>
          <w:szCs w:val="32"/>
          <w:lang w:val="en-US" w:eastAsia="zh-CN"/>
        </w:rPr>
      </w:pPr>
      <w:r>
        <w:rPr>
          <w:rFonts w:hint="eastAsia" w:ascii="楷体_GB2312" w:hAnsi="楷体_GB2312" w:eastAsia="楷体_GB2312" w:cs="楷体_GB2312"/>
          <w:sz w:val="32"/>
          <w:szCs w:val="32"/>
          <w:lang w:val="en-US" w:eastAsia="zh-CN"/>
        </w:rPr>
        <w:t>过往案例：</w:t>
      </w:r>
      <w:r>
        <w:rPr>
          <w:rFonts w:hint="eastAsia" w:ascii="仿宋" w:hAnsi="仿宋" w:eastAsia="仿宋" w:cs="仿宋"/>
          <w:sz w:val="32"/>
          <w:szCs w:val="32"/>
          <w:lang w:val="en-US" w:eastAsia="zh-CN"/>
        </w:rPr>
        <w:t>同类活动策划执行案例（2-3个）</w:t>
      </w:r>
    </w:p>
    <w:p>
      <w:pPr>
        <w:keepNext w:val="0"/>
        <w:keepLines w:val="0"/>
        <w:pageBreakBefore w:val="0"/>
        <w:widowControl w:val="0"/>
        <w:numPr>
          <w:numId w:val="0"/>
        </w:numPr>
        <w:kinsoku/>
        <w:wordWrap/>
        <w:overflowPunct/>
        <w:topLinePunct w:val="0"/>
        <w:autoSpaceDE/>
        <w:autoSpaceDN/>
        <w:bidi w:val="0"/>
        <w:adjustRightInd/>
        <w:snapToGrid/>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三、PPT制作要求</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控制在30页以内，16:9格式；每家限时30分钟（其中5-10分钟提问）。</w:t>
      </w:r>
    </w:p>
    <w:bookmarkEnd w:id="0"/>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lang w:val="en-US"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 w:name="MT Extra">
    <w:panose1 w:val="02000609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58D5E8"/>
    <w:multiLevelType w:val="singleLevel"/>
    <w:tmpl w:val="9B58D5E8"/>
    <w:lvl w:ilvl="0" w:tentative="0">
      <w:start w:val="1"/>
      <w:numFmt w:val="decimal"/>
      <w:lvlText w:val="%1."/>
      <w:lvlJc w:val="left"/>
      <w:pPr>
        <w:tabs>
          <w:tab w:val="left" w:pos="312"/>
        </w:tabs>
      </w:pPr>
    </w:lvl>
  </w:abstractNum>
  <w:abstractNum w:abstractNumId="1">
    <w:nsid w:val="CD460AF7"/>
    <w:multiLevelType w:val="singleLevel"/>
    <w:tmpl w:val="CD460AF7"/>
    <w:lvl w:ilvl="0" w:tentative="0">
      <w:start w:val="1"/>
      <w:numFmt w:val="decimal"/>
      <w:lvlText w:val="%1."/>
      <w:lvlJc w:val="left"/>
      <w:pPr>
        <w:tabs>
          <w:tab w:val="left" w:pos="312"/>
        </w:tabs>
      </w:pPr>
    </w:lvl>
  </w:abstractNum>
  <w:abstractNum w:abstractNumId="2">
    <w:nsid w:val="EABAFAF7"/>
    <w:multiLevelType w:val="singleLevel"/>
    <w:tmpl w:val="EABAFAF7"/>
    <w:lvl w:ilvl="0" w:tentative="0">
      <w:start w:val="1"/>
      <w:numFmt w:val="decimal"/>
      <w:lvlText w:val="%1."/>
      <w:lvlJc w:val="left"/>
      <w:pPr>
        <w:tabs>
          <w:tab w:val="left" w:pos="312"/>
        </w:tabs>
      </w:pPr>
    </w:lvl>
  </w:abstractNum>
  <w:abstractNum w:abstractNumId="3">
    <w:nsid w:val="1A35AD25"/>
    <w:multiLevelType w:val="singleLevel"/>
    <w:tmpl w:val="1A35AD25"/>
    <w:lvl w:ilvl="0" w:tentative="0">
      <w:start w:val="1"/>
      <w:numFmt w:val="chineseCounting"/>
      <w:suff w:val="nothing"/>
      <w:lvlText w:val="（%1）"/>
      <w:lvlJc w:val="left"/>
      <w:rPr>
        <w:rFonts w:hint="eastAsia"/>
      </w:rPr>
    </w:lvl>
  </w:abstractNum>
  <w:abstractNum w:abstractNumId="4">
    <w:nsid w:val="5C6E2EBE"/>
    <w:multiLevelType w:val="singleLevel"/>
    <w:tmpl w:val="5C6E2EBE"/>
    <w:lvl w:ilvl="0" w:tentative="0">
      <w:start w:val="1"/>
      <w:numFmt w:val="decimal"/>
      <w:lvlText w:val="%1."/>
      <w:lvlJc w:val="left"/>
      <w:pPr>
        <w:tabs>
          <w:tab w:val="left" w:pos="312"/>
        </w:tabs>
      </w:pPr>
    </w:lvl>
  </w:abstractNum>
  <w:abstractNum w:abstractNumId="5">
    <w:nsid w:val="67681F71"/>
    <w:multiLevelType w:val="singleLevel"/>
    <w:tmpl w:val="67681F71"/>
    <w:lvl w:ilvl="0" w:tentative="0">
      <w:start w:val="1"/>
      <w:numFmt w:val="decimal"/>
      <w:suff w:val="nothing"/>
      <w:lvlText w:val="（%1）"/>
      <w:lvlJc w:val="left"/>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06A91"/>
    <w:rsid w:val="03101268"/>
    <w:rsid w:val="03CE693E"/>
    <w:rsid w:val="0C387C9D"/>
    <w:rsid w:val="1987247F"/>
    <w:rsid w:val="1A066B61"/>
    <w:rsid w:val="1F3D419C"/>
    <w:rsid w:val="25281014"/>
    <w:rsid w:val="328D3376"/>
    <w:rsid w:val="45EE0AF1"/>
    <w:rsid w:val="59C90402"/>
    <w:rsid w:val="59E717C7"/>
    <w:rsid w:val="613E72A3"/>
    <w:rsid w:val="64F30927"/>
    <w:rsid w:val="6A9C1610"/>
    <w:rsid w:val="77064400"/>
    <w:rsid w:val="782718D3"/>
    <w:rsid w:val="799A4C75"/>
    <w:rsid w:val="7C41259F"/>
    <w:rsid w:val="7EB5514C"/>
    <w:rsid w:val="BDF7BC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987</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陈韵秋</cp:lastModifiedBy>
  <dcterms:modified xsi:type="dcterms:W3CDTF">2026-08-03T14:11:00Z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B1C1DC82C91892BFF430706AF0D693DC_43</vt:lpwstr>
  </property>
</Properties>
</file>