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3EA940">
      <w:pPr>
        <w:spacing w:before="480" w:after="480" w:line="288" w:lineRule="auto"/>
        <w:ind w:firstLine="1561" w:firstLineChars="300"/>
        <w:rPr>
          <w:rFonts w:ascii="Arial" w:hAnsi="Arial" w:eastAsia="等线" w:cs="Arial"/>
          <w:b/>
          <w:sz w:val="52"/>
        </w:rPr>
      </w:pPr>
      <w:r>
        <w:rPr>
          <w:rFonts w:ascii="Arial" w:hAnsi="Arial" w:eastAsia="等线" w:cs="Arial"/>
          <w:b/>
          <w:sz w:val="52"/>
        </w:rPr>
        <w:t>献血方舱产品介绍</w:t>
      </w:r>
    </w:p>
    <w:p w14:paraId="4CBA7DA6">
      <w:pPr>
        <w:spacing w:before="480" w:after="480" w:line="288" w:lineRule="auto"/>
        <w:ind w:firstLine="840" w:firstLineChars="300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为进一步优化无偿献血服务基础设施配置，升级采血服务硬件条件，提升无偿献血服务的专业性、便捷性与规范性，助力各地采血站点标准化、智能化建设，我</w:t>
      </w:r>
      <w:r>
        <w:rPr>
          <w:rFonts w:hint="eastAsia" w:ascii="方正仿宋_GB2312" w:hAnsi="方正仿宋_GB2312" w:eastAsia="方正仿宋_GB2312" w:cs="方正仿宋_GB2312"/>
          <w:sz w:val="28"/>
          <w:szCs w:val="28"/>
          <w:lang w:val="en-US" w:eastAsia="zh-CN"/>
        </w:rPr>
        <w:t>站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将举办献血方舱产品专场介绍会。本次介绍会聚焦新一代智能献血方舱全维度产品解读，核心内容涵盖以下板块：</w:t>
      </w:r>
      <w:bookmarkStart w:id="0" w:name="_GoBack"/>
      <w:bookmarkEnd w:id="0"/>
    </w:p>
    <w:p w14:paraId="0C9668CA">
      <w:pPr>
        <w:spacing w:before="120" w:after="120" w:line="288" w:lineRule="auto"/>
        <w:ind w:left="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1. 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产品整体设计理念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lang w:eastAsia="zh-CN"/>
        </w:rPr>
        <w:t>（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  <w:lang w:val="en-US" w:eastAsia="zh-CN"/>
        </w:rPr>
        <w:t>结合当地风土文化）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：讲解献血方舱基于无偿献血服务标准、人体工学、卫生防疫及便民服务的一体化设计思路，阐述方舱标准化、模块化、智能化、可移动的核心设计优势，适配城市商圈、社区、高校、政务广场、乡镇点位等多场景落地使用。</w:t>
      </w:r>
    </w:p>
    <w:p w14:paraId="08F3306B">
      <w:pPr>
        <w:spacing w:before="120" w:after="120" w:line="288" w:lineRule="auto"/>
        <w:ind w:left="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2. 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核心功能与硬件配置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：详细介绍方舱内部采血工作区、休息候诊区、消毒净化区、设备储物区等功能分区；重点展示恒温恒湿控制系统、新风净化系统、紫外线消杀设备、智能采血辅助设备、监控安防系统、LED公示展示屏、无障碍便民设施等硬件配置，全方位满足采血、候诊、消毒、存档、便民等全流程需求。</w:t>
      </w:r>
    </w:p>
    <w:p w14:paraId="183B0ECD">
      <w:pPr>
        <w:spacing w:before="120" w:after="120" w:line="288" w:lineRule="auto"/>
        <w:ind w:left="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3. 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技术优势与合规标准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：解读产品严格遵循的医疗卫生、公共设施建设、消防安全等国家及行业标准；介绍方舱防风、防雨、防尘、隔热、隔音的高品质建材优势，以及智能化数据对接、采血流程溯源、设备智能预警等技术亮点，保障采血环境安全、采血流程规范、服务数据可查。</w:t>
      </w:r>
    </w:p>
    <w:p w14:paraId="3BB4DC2F">
      <w:pPr>
        <w:spacing w:before="120" w:after="120" w:line="288" w:lineRule="auto"/>
        <w:ind w:left="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 xml:space="preserve">4. </w:t>
      </w:r>
      <w:r>
        <w:rPr>
          <w:rFonts w:hint="eastAsia" w:ascii="方正仿宋_GB2312" w:hAnsi="方正仿宋_GB2312" w:eastAsia="方正仿宋_GB2312" w:cs="方正仿宋_GB2312"/>
          <w:b/>
          <w:sz w:val="28"/>
          <w:szCs w:val="28"/>
        </w:rPr>
        <w:t>场景应用与落地案例</w:t>
      </w:r>
      <w:r>
        <w:rPr>
          <w:rFonts w:hint="eastAsia" w:ascii="方正仿宋_GB2312" w:hAnsi="方正仿宋_GB2312" w:eastAsia="方正仿宋_GB2312" w:cs="方正仿宋_GB2312"/>
          <w:sz w:val="28"/>
          <w:szCs w:val="28"/>
        </w:rPr>
        <w:t>：分享全国多地献血方舱落地应用实景案例，展示方舱在常态化采血、应急献血保障、公益献血宣传、城市文明建设等场景中的应用效果，分析不同场景的适配方案与落地优势。</w:t>
      </w:r>
    </w:p>
    <w:p w14:paraId="099AD9FF">
      <w:pPr>
        <w:spacing w:before="120" w:after="120" w:line="288" w:lineRule="auto"/>
        <w:ind w:left="0"/>
        <w:jc w:val="left"/>
        <w:rPr>
          <w:rFonts w:hint="eastAsia" w:ascii="方正仿宋_GB2312" w:hAnsi="方正仿宋_GB2312" w:eastAsia="方正仿宋_GB2312" w:cs="方正仿宋_GB2312"/>
          <w:sz w:val="28"/>
          <w:szCs w:val="28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F1FFD5E2-FAC9-4DE1-850C-883AD20ADC39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2" w:fontKey="{B1D47442-3113-43C1-B5ED-26AD73C9CE69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8CB038E9-3C98-4C8E-A839-B61B81707DB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DFE2C70E-1C25-4B16-840B-AAFC96576F0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B46A1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B962F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TrueTypeFonts/>
  <w:saveSubsetFonts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0CC3FD8"/>
    <w:rsid w:val="05D13AC9"/>
    <w:rsid w:val="595B08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1362</Words>
  <Characters>1375</Characters>
  <TotalTime>7</TotalTime>
  <ScaleCrop>false</ScaleCrop>
  <LinksUpToDate>false</LinksUpToDate>
  <CharactersWithSpaces>1387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2026-07-20T07:23:00Z</dcterms:created>
  <dc:creator>Apache POI</dc:creator>
  <cp:lastModifiedBy>朱颖</cp:lastModifiedBy>
  <dcterms:modified xsi:type="dcterms:W3CDTF">2026-07-20T07:35:18Z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IGC">
    <vt:lpwstr>{"Label":"1","ContentProducer":"001191110102MACQD9K64010000","ProduceID":"7664507458186349500","ReservedCode1":"","ContentPropagator":"","PropagateID":"","ReservedCode2":""}</vt:lpwstr>
  </property>
  <property fmtid="{D5CDD505-2E9C-101B-9397-08002B2CF9AE}" pid="3" name="KSOTemplateDocerSaveRecord">
    <vt:lpwstr>eyJoZGlkIjoiYzY1ZmYxYmI0NmE3NDNjODkzNTRhODk5OGI0NGVhODgiLCJ1c2VySWQiOiIxNjU5OTQxMTI0In0=</vt:lpwstr>
  </property>
  <property fmtid="{D5CDD505-2E9C-101B-9397-08002B2CF9AE}" pid="4" name="KSOProductBuildVer">
    <vt:lpwstr>2052-12.1.0.25225</vt:lpwstr>
  </property>
  <property fmtid="{D5CDD505-2E9C-101B-9397-08002B2CF9AE}" pid="5" name="ICV">
    <vt:lpwstr>1A74C3162B2D4FECB1B388FC988D5AEE_12</vt:lpwstr>
  </property>
</Properties>
</file>